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92840C">
      <w:pPr>
        <w:pStyle w:val="2"/>
        <w:jc w:val="center"/>
        <w:rPr>
          <w:rFonts w:hint="default" w:ascii="Times New Roman" w:hAnsi="Times New Roman" w:cs="Times New Roman"/>
          <w:sz w:val="32"/>
          <w:szCs w:val="32"/>
          <w:lang w:val="en-US" w:eastAsia="zh-CN"/>
        </w:rPr>
      </w:pPr>
      <w:bookmarkStart w:id="0" w:name="OLE_LINK1"/>
    </w:p>
    <w:p w14:paraId="10443A85">
      <w:pPr>
        <w:pStyle w:val="2"/>
        <w:jc w:val="center"/>
        <w:rPr>
          <w:rFonts w:hint="default" w:ascii="Times New Roman" w:hAnsi="Times New Roman" w:cs="Times New Roman"/>
          <w:sz w:val="32"/>
          <w:szCs w:val="32"/>
        </w:rPr>
      </w:pPr>
      <w:r>
        <w:rPr>
          <w:rFonts w:hint="default" w:ascii="Times New Roman" w:hAnsi="Times New Roman" w:cs="Times New Roman"/>
          <w:sz w:val="32"/>
          <w:szCs w:val="32"/>
          <w:lang w:val="en-US" w:eastAsia="zh-CN"/>
        </w:rPr>
        <w:t>ND-16/ND-16A neutron personal dosimeter</w:t>
      </w:r>
    </w:p>
    <w:bookmarkEnd w:id="0"/>
    <w:p w14:paraId="43517DC1">
      <w:pPr>
        <w:spacing w:line="360" w:lineRule="auto"/>
        <w:ind w:firstLine="420"/>
        <w:rPr>
          <w:rFonts w:hint="default" w:ascii="Times New Roman" w:hAnsi="Times New Roman" w:cs="Times New Roman"/>
          <w:b/>
          <w:kern w:val="2"/>
          <w:sz w:val="24"/>
          <w:szCs w:val="24"/>
          <w:lang w:val="en-US" w:eastAsia="zh-CN" w:bidi="ar-SA"/>
        </w:rPr>
      </w:pPr>
      <w:r>
        <w:rPr>
          <w:rFonts w:hint="default" w:ascii="Times New Roman" w:hAnsi="Times New Roman" w:cs="Times New Roman"/>
          <w:sz w:val="24"/>
          <w:szCs w:val="24"/>
          <w:lang w:val="en-US" w:eastAsia="zh-CN"/>
        </w:rPr>
        <w:drawing>
          <wp:anchor distT="0" distB="0" distL="114300" distR="114300" simplePos="0" relativeHeight="251659264" behindDoc="0" locked="0" layoutInCell="1" allowOverlap="1">
            <wp:simplePos x="0" y="0"/>
            <wp:positionH relativeFrom="column">
              <wp:posOffset>5440680</wp:posOffset>
            </wp:positionH>
            <wp:positionV relativeFrom="paragraph">
              <wp:posOffset>129540</wp:posOffset>
            </wp:positionV>
            <wp:extent cx="1544320" cy="2362200"/>
            <wp:effectExtent l="0" t="0" r="17780" b="0"/>
            <wp:wrapSquare wrapText="bothSides"/>
            <wp:docPr id="41" name="图片 41" descr="88620d111d0451d9a0487e7f236e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88620d111d0451d9a0487e7f236e158"/>
                    <pic:cNvPicPr>
                      <a:picLocks noChangeAspect="1"/>
                    </pic:cNvPicPr>
                  </pic:nvPicPr>
                  <pic:blipFill>
                    <a:blip r:embed="rId6"/>
                    <a:stretch>
                      <a:fillRect/>
                    </a:stretch>
                  </pic:blipFill>
                  <pic:spPr>
                    <a:xfrm>
                      <a:off x="0" y="0"/>
                      <a:ext cx="1544320" cy="2362200"/>
                    </a:xfrm>
                    <a:prstGeom prst="rect">
                      <a:avLst/>
                    </a:prstGeom>
                  </pic:spPr>
                </pic:pic>
              </a:graphicData>
            </a:graphic>
          </wp:anchor>
        </w:drawing>
      </w:r>
      <w:r>
        <w:rPr>
          <w:rFonts w:hint="default" w:ascii="Times New Roman" w:hAnsi="Times New Roman" w:cs="Times New Roman"/>
          <w:b/>
          <w:kern w:val="2"/>
          <w:sz w:val="24"/>
          <w:szCs w:val="24"/>
          <w:lang w:val="en-US" w:eastAsia="zh-CN" w:bidi="ar-SA"/>
        </w:rPr>
        <w:t>Product introduction</w:t>
      </w:r>
    </w:p>
    <w:p w14:paraId="37467BBB">
      <w:pPr>
        <w:spacing w:line="360" w:lineRule="auto"/>
        <w:ind w:firstLine="420"/>
        <w:rPr>
          <w:rFonts w:hint="default" w:ascii="Times New Roman" w:hAnsi="Times New Roman" w:cs="Times New Roman"/>
          <w:sz w:val="24"/>
          <w:szCs w:val="24"/>
        </w:rPr>
      </w:pPr>
      <w:bookmarkStart w:id="1" w:name="OLE_LINK3"/>
      <w:r>
        <w:rPr>
          <w:rFonts w:hint="default" w:ascii="Times New Roman" w:hAnsi="Times New Roman" w:cs="Times New Roman"/>
          <w:sz w:val="24"/>
          <w:szCs w:val="24"/>
          <w:lang w:val="en-US" w:eastAsia="zh-CN"/>
        </w:rPr>
        <w:t>ND-16/ND-16A neutron personal dosimeter is mainly used to measure the personal dose equivalent caused by neutron gamma and X-ray radiation, and is suitable for dose equivalent measurement in radioactive workplaces. The dosimeter is controlled by a low-power single-chip microcomputer, which realizes the functions of LCD drive display, measurement data st</w:t>
      </w:r>
      <w:bookmarkStart w:id="7" w:name="_GoBack"/>
      <w:bookmarkEnd w:id="7"/>
      <w:r>
        <w:rPr>
          <w:rFonts w:hint="default" w:ascii="Times New Roman" w:hAnsi="Times New Roman" w:cs="Times New Roman"/>
          <w:sz w:val="24"/>
          <w:szCs w:val="24"/>
          <w:lang w:val="en-US" w:eastAsia="zh-CN"/>
        </w:rPr>
        <w:t>orage, related parameter setting, detector fault alarm, battery voltage detection, over-threshold acousto-optic alarm, charging and so on.</w:t>
      </w:r>
      <w:bookmarkEnd w:id="1"/>
    </w:p>
    <w:p w14:paraId="0DFFAD8B">
      <w:pPr>
        <w:spacing w:line="360" w:lineRule="auto"/>
        <w:ind w:firstLine="420"/>
        <w:rPr>
          <w:rFonts w:hint="default" w:ascii="Times New Roman" w:hAnsi="Times New Roman" w:cs="Times New Roman"/>
          <w:sz w:val="24"/>
          <w:szCs w:val="24"/>
          <w:lang w:eastAsia="zh-CN"/>
        </w:rPr>
      </w:pPr>
      <w:r>
        <w:rPr>
          <w:rFonts w:hint="default" w:ascii="Times New Roman" w:hAnsi="Times New Roman" w:cs="Times New Roman"/>
          <w:sz w:val="24"/>
          <w:szCs w:val="24"/>
        </w:rPr>
        <w:t>This dosimeter can be used in radiation medical treatment, industrial nondestructive testing, radioisotope application, occupational disease prevention, radiation dose equivalent measurement in troops, nuclear power plants and the periphery of radioactive workplaces.</w:t>
      </w:r>
    </w:p>
    <w:p w14:paraId="1574284D">
      <w:pPr>
        <w:spacing w:line="360" w:lineRule="auto"/>
        <w:rPr>
          <w:rFonts w:hint="default" w:ascii="Times New Roman" w:hAnsi="Times New Roman" w:cs="Times New Roman"/>
          <w:b/>
          <w:kern w:val="2"/>
          <w:sz w:val="24"/>
          <w:szCs w:val="24"/>
          <w:lang w:val="en-US" w:eastAsia="zh-CN" w:bidi="ar-SA"/>
        </w:rPr>
      </w:pPr>
      <w:bookmarkStart w:id="2" w:name="_Toc80791644"/>
      <w:r>
        <w:rPr>
          <w:rFonts w:hint="eastAsia" w:ascii="Times New Roman" w:hAnsi="Times New Roman" w:cs="Times New Roman"/>
          <w:b/>
          <w:kern w:val="2"/>
          <w:sz w:val="24"/>
          <w:szCs w:val="24"/>
          <w:lang w:val="en-US" w:eastAsia="zh-CN" w:bidi="ar-SA"/>
        </w:rPr>
        <w:t>T</w:t>
      </w:r>
      <w:r>
        <w:rPr>
          <w:rFonts w:hint="default" w:ascii="Times New Roman" w:hAnsi="Times New Roman" w:cs="Times New Roman"/>
          <w:b/>
          <w:kern w:val="2"/>
          <w:sz w:val="24"/>
          <w:szCs w:val="24"/>
          <w:lang w:val="en-US" w:eastAsia="zh-CN" w:bidi="ar-SA"/>
        </w:rPr>
        <w:t>echnical indexes</w:t>
      </w:r>
      <w:bookmarkEnd w:id="2"/>
    </w:p>
    <w:tbl>
      <w:tblPr>
        <w:tblStyle w:val="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30"/>
        <w:gridCol w:w="3209"/>
        <w:gridCol w:w="6149"/>
      </w:tblGrid>
      <w:tr w14:paraId="22283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8" w:type="pct"/>
          </w:tcPr>
          <w:p w14:paraId="4EEB7DEF">
            <w:pPr>
              <w:spacing w:line="360" w:lineRule="auto"/>
              <w:rPr>
                <w:rFonts w:hint="default" w:ascii="Times New Roman" w:hAnsi="Times New Roman" w:cs="Times New Roman"/>
                <w:b/>
                <w:kern w:val="2"/>
                <w:sz w:val="24"/>
                <w:szCs w:val="24"/>
                <w:vertAlign w:val="baseline"/>
                <w:lang w:val="en-US" w:eastAsia="zh-CN" w:bidi="ar-SA"/>
              </w:rPr>
            </w:pPr>
          </w:p>
        </w:tc>
        <w:tc>
          <w:tcPr>
            <w:tcW w:w="1502" w:type="pct"/>
          </w:tcPr>
          <w:p w14:paraId="37ED2F57">
            <w:pPr>
              <w:spacing w:line="360" w:lineRule="auto"/>
              <w:rPr>
                <w:rFonts w:hint="default" w:ascii="Times New Roman" w:hAnsi="Times New Roman" w:cs="Times New Roman"/>
                <w:b/>
                <w:kern w:val="2"/>
                <w:sz w:val="24"/>
                <w:szCs w:val="24"/>
                <w:vertAlign w:val="baseline"/>
                <w:lang w:val="en-US" w:eastAsia="zh-CN" w:bidi="ar-SA"/>
              </w:rPr>
            </w:pPr>
            <w:r>
              <w:rPr>
                <w:rFonts w:hint="default" w:ascii="Times New Roman" w:hAnsi="Times New Roman" w:cs="Times New Roman"/>
                <w:sz w:val="24"/>
                <w:szCs w:val="24"/>
                <w:lang w:val="en-US" w:eastAsia="zh-CN"/>
              </w:rPr>
              <w:t>ND-16</w:t>
            </w:r>
          </w:p>
        </w:tc>
        <w:tc>
          <w:tcPr>
            <w:tcW w:w="2839" w:type="pct"/>
          </w:tcPr>
          <w:p w14:paraId="3DD97742">
            <w:pPr>
              <w:spacing w:line="360" w:lineRule="auto"/>
              <w:rPr>
                <w:rFonts w:hint="default" w:ascii="Times New Roman" w:hAnsi="Times New Roman" w:cs="Times New Roman"/>
                <w:b/>
                <w:kern w:val="2"/>
                <w:sz w:val="24"/>
                <w:szCs w:val="24"/>
                <w:vertAlign w:val="baseline"/>
                <w:lang w:val="en-US" w:eastAsia="zh-CN" w:bidi="ar-SA"/>
              </w:rPr>
            </w:pPr>
            <w:r>
              <w:rPr>
                <w:rFonts w:hint="eastAsia" w:ascii="Times New Roman" w:hAnsi="Times New Roman" w:cs="Times New Roman"/>
                <w:sz w:val="24"/>
                <w:szCs w:val="24"/>
                <w:lang w:val="en-US" w:eastAsia="zh-CN"/>
              </w:rPr>
              <w:t>ND-16A</w:t>
            </w:r>
          </w:p>
        </w:tc>
      </w:tr>
      <w:tr w14:paraId="73124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8" w:type="pct"/>
          </w:tcPr>
          <w:p w14:paraId="0E4A1FD1">
            <w:pPr>
              <w:spacing w:line="360" w:lineRule="auto"/>
              <w:rPr>
                <w:rFonts w:hint="default" w:ascii="Times New Roman" w:hAnsi="Times New Roman" w:cs="Times New Roman"/>
                <w:b/>
                <w:kern w:val="2"/>
                <w:sz w:val="24"/>
                <w:szCs w:val="24"/>
                <w:vertAlign w:val="baseline"/>
                <w:lang w:val="en-US" w:eastAsia="zh-CN" w:bidi="ar-SA"/>
              </w:rPr>
            </w:pPr>
            <w:r>
              <w:rPr>
                <w:rFonts w:hint="default" w:ascii="Times New Roman" w:hAnsi="Times New Roman" w:cs="Times New Roman"/>
                <w:position w:val="6"/>
                <w:sz w:val="24"/>
                <w:szCs w:val="24"/>
              </w:rPr>
              <w:t>Detector type</w:t>
            </w:r>
          </w:p>
        </w:tc>
        <w:tc>
          <w:tcPr>
            <w:tcW w:w="1502" w:type="pct"/>
          </w:tcPr>
          <w:p w14:paraId="0DF7C399">
            <w:pPr>
              <w:numPr>
                <w:ilvl w:val="0"/>
                <w:numId w:val="0"/>
              </w:numPr>
              <w:spacing w:line="276" w:lineRule="auto"/>
              <w:rPr>
                <w:rFonts w:hint="default" w:ascii="Times New Roman" w:hAnsi="Times New Roman" w:cs="Times New Roman"/>
                <w:position w:val="6"/>
                <w:sz w:val="24"/>
                <w:szCs w:val="24"/>
              </w:rPr>
            </w:pPr>
            <w:r>
              <w:rPr>
                <w:rFonts w:hint="default" w:ascii="Times New Roman" w:hAnsi="Times New Roman" w:cs="Times New Roman"/>
                <w:position w:val="6"/>
                <w:sz w:val="24"/>
                <w:szCs w:val="24"/>
              </w:rPr>
              <w:t>6Li coated compound semiconductor detector</w:t>
            </w:r>
          </w:p>
          <w:p w14:paraId="75239EF6">
            <w:pPr>
              <w:spacing w:line="360" w:lineRule="auto"/>
              <w:rPr>
                <w:rFonts w:hint="default" w:ascii="Times New Roman" w:hAnsi="Times New Roman" w:cs="Times New Roman"/>
                <w:b/>
                <w:kern w:val="2"/>
                <w:sz w:val="24"/>
                <w:szCs w:val="24"/>
                <w:vertAlign w:val="baseline"/>
                <w:lang w:val="en-US" w:eastAsia="zh-CN" w:bidi="ar-SA"/>
              </w:rPr>
            </w:pPr>
          </w:p>
        </w:tc>
        <w:tc>
          <w:tcPr>
            <w:tcW w:w="2839" w:type="pct"/>
          </w:tcPr>
          <w:p w14:paraId="25253E78">
            <w:pPr>
              <w:spacing w:line="360" w:lineRule="auto"/>
              <w:rPr>
                <w:rFonts w:hint="default" w:ascii="Times New Roman" w:hAnsi="Times New Roman" w:cs="Times New Roman"/>
                <w:b/>
                <w:kern w:val="2"/>
                <w:sz w:val="24"/>
                <w:szCs w:val="24"/>
                <w:vertAlign w:val="baseline"/>
                <w:lang w:val="en-US" w:eastAsia="zh-CN" w:bidi="ar-SA"/>
              </w:rPr>
            </w:pPr>
            <w:r>
              <w:rPr>
                <w:rFonts w:hint="default" w:ascii="Times New Roman" w:hAnsi="Times New Roman" w:cs="Times New Roman"/>
                <w:position w:val="6"/>
                <w:sz w:val="24"/>
                <w:szCs w:val="24"/>
              </w:rPr>
              <w:t>6Li coated compound semiconductor detector+energy compensated GM compound detector</w:t>
            </w:r>
          </w:p>
        </w:tc>
      </w:tr>
      <w:tr w14:paraId="3DE10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8" w:type="pct"/>
          </w:tcPr>
          <w:p w14:paraId="7315BEB4">
            <w:pPr>
              <w:spacing w:line="360" w:lineRule="auto"/>
              <w:rPr>
                <w:rFonts w:hint="default" w:ascii="Times New Roman" w:hAnsi="Times New Roman" w:cs="Times New Roman"/>
                <w:b/>
                <w:kern w:val="2"/>
                <w:sz w:val="24"/>
                <w:szCs w:val="24"/>
                <w:vertAlign w:val="baseline"/>
                <w:lang w:val="en-US" w:eastAsia="zh-CN" w:bidi="ar-SA"/>
              </w:rPr>
            </w:pPr>
            <w:r>
              <w:rPr>
                <w:rFonts w:hint="default" w:ascii="Times New Roman" w:hAnsi="Times New Roman" w:cs="Times New Roman"/>
                <w:position w:val="6"/>
                <w:sz w:val="24"/>
                <w:szCs w:val="24"/>
              </w:rPr>
              <w:t>Detection radiation type</w:t>
            </w:r>
          </w:p>
        </w:tc>
        <w:tc>
          <w:tcPr>
            <w:tcW w:w="1502" w:type="pct"/>
          </w:tcPr>
          <w:p w14:paraId="5546D7E8">
            <w:pPr>
              <w:spacing w:line="360" w:lineRule="auto"/>
              <w:rPr>
                <w:rFonts w:hint="default" w:ascii="Times New Roman" w:hAnsi="Times New Roman" w:cs="Times New Roman"/>
                <w:b/>
                <w:kern w:val="2"/>
                <w:sz w:val="24"/>
                <w:szCs w:val="24"/>
                <w:vertAlign w:val="baseline"/>
                <w:lang w:val="en-US" w:eastAsia="zh-CN" w:bidi="ar-SA"/>
              </w:rPr>
            </w:pPr>
            <w:r>
              <w:rPr>
                <w:rFonts w:hint="eastAsia" w:ascii="Times New Roman" w:hAnsi="Times New Roman" w:cs="Times New Roman"/>
                <w:position w:val="6"/>
                <w:sz w:val="24"/>
                <w:szCs w:val="24"/>
                <w:lang w:val="en-US" w:eastAsia="zh-CN"/>
              </w:rPr>
              <w:t>Neutron ray</w:t>
            </w:r>
          </w:p>
        </w:tc>
        <w:tc>
          <w:tcPr>
            <w:tcW w:w="2839" w:type="pct"/>
          </w:tcPr>
          <w:p w14:paraId="36780D68">
            <w:pPr>
              <w:spacing w:line="360" w:lineRule="auto"/>
              <w:rPr>
                <w:rFonts w:hint="default" w:ascii="Times New Roman" w:hAnsi="Times New Roman" w:cs="Times New Roman"/>
                <w:b/>
                <w:kern w:val="2"/>
                <w:sz w:val="24"/>
                <w:szCs w:val="24"/>
                <w:vertAlign w:val="baseline"/>
                <w:lang w:val="en-US" w:eastAsia="zh-CN" w:bidi="ar-SA"/>
              </w:rPr>
            </w:pPr>
            <w:r>
              <w:rPr>
                <w:rFonts w:hint="eastAsia" w:ascii="Times New Roman" w:hAnsi="Times New Roman" w:cs="Times New Roman"/>
                <w:position w:val="6"/>
                <w:sz w:val="24"/>
                <w:szCs w:val="24"/>
                <w:lang w:val="en-US" w:eastAsia="zh-CN"/>
              </w:rPr>
              <w:t>Neutrons, gamma rays and x-rays</w:t>
            </w:r>
          </w:p>
        </w:tc>
      </w:tr>
      <w:tr w14:paraId="6AC6D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8" w:type="pct"/>
          </w:tcPr>
          <w:p w14:paraId="70E39D2B">
            <w:pPr>
              <w:spacing w:line="360" w:lineRule="auto"/>
              <w:rPr>
                <w:rFonts w:hint="default" w:ascii="Times New Roman" w:hAnsi="Times New Roman" w:cs="Times New Roman"/>
                <w:b/>
                <w:kern w:val="2"/>
                <w:sz w:val="24"/>
                <w:szCs w:val="24"/>
                <w:vertAlign w:val="baseline"/>
                <w:lang w:val="en-US" w:eastAsia="zh-CN" w:bidi="ar-SA"/>
              </w:rPr>
            </w:pPr>
            <w:r>
              <w:rPr>
                <w:rFonts w:hint="default" w:ascii="Times New Roman" w:hAnsi="Times New Roman" w:cs="Times New Roman"/>
                <w:position w:val="6"/>
                <w:sz w:val="24"/>
                <w:szCs w:val="24"/>
              </w:rPr>
              <w:t>cumulative dose</w:t>
            </w:r>
          </w:p>
        </w:tc>
        <w:tc>
          <w:tcPr>
            <w:tcW w:w="1502" w:type="pct"/>
          </w:tcPr>
          <w:p w14:paraId="23C88E63">
            <w:pPr>
              <w:spacing w:line="360" w:lineRule="auto"/>
              <w:rPr>
                <w:rFonts w:hint="default" w:ascii="Times New Roman" w:hAnsi="Times New Roman" w:cs="Times New Roman"/>
                <w:b/>
                <w:kern w:val="2"/>
                <w:sz w:val="24"/>
                <w:szCs w:val="24"/>
                <w:vertAlign w:val="baseline"/>
                <w:lang w:val="en-US" w:eastAsia="zh-CN" w:bidi="ar-SA"/>
              </w:rPr>
            </w:pPr>
            <w:r>
              <w:rPr>
                <w:rFonts w:hint="default" w:ascii="Times New Roman" w:hAnsi="Times New Roman" w:cs="Times New Roman"/>
                <w:position w:val="6"/>
                <w:sz w:val="24"/>
                <w:szCs w:val="24"/>
              </w:rPr>
              <w:t>1.0μSv～9999mSv</w:t>
            </w:r>
          </w:p>
        </w:tc>
        <w:tc>
          <w:tcPr>
            <w:tcW w:w="2839" w:type="pct"/>
          </w:tcPr>
          <w:p w14:paraId="0DAF9DF0">
            <w:pPr>
              <w:numPr>
                <w:ilvl w:val="0"/>
                <w:numId w:val="0"/>
              </w:numPr>
              <w:spacing w:line="276" w:lineRule="auto"/>
              <w:rPr>
                <w:rFonts w:hint="default" w:ascii="Times New Roman" w:hAnsi="Times New Roman" w:cs="Times New Roman"/>
                <w:position w:val="6"/>
                <w:sz w:val="24"/>
                <w:szCs w:val="24"/>
              </w:rPr>
            </w:pPr>
            <w:r>
              <w:rPr>
                <w:rFonts w:hint="default" w:ascii="Times New Roman" w:hAnsi="Times New Roman" w:cs="Times New Roman"/>
                <w:position w:val="6"/>
                <w:sz w:val="24"/>
                <w:szCs w:val="24"/>
              </w:rPr>
              <w:t>X/γ：1.0μSv～9999mSv；</w:t>
            </w:r>
          </w:p>
          <w:p w14:paraId="153D217E">
            <w:pPr>
              <w:numPr>
                <w:ilvl w:val="0"/>
                <w:numId w:val="0"/>
              </w:numPr>
              <w:spacing w:line="276" w:lineRule="auto"/>
              <w:rPr>
                <w:rFonts w:hint="default" w:ascii="Times New Roman" w:hAnsi="Times New Roman" w:cs="Times New Roman"/>
                <w:b/>
                <w:kern w:val="2"/>
                <w:sz w:val="24"/>
                <w:szCs w:val="24"/>
                <w:vertAlign w:val="baseline"/>
                <w:lang w:val="en-US" w:eastAsia="zh-CN" w:bidi="ar-SA"/>
              </w:rPr>
            </w:pPr>
            <w:r>
              <w:rPr>
                <w:rFonts w:hint="default" w:ascii="Times New Roman" w:hAnsi="Times New Roman" w:cs="Times New Roman"/>
                <w:position w:val="6"/>
                <w:sz w:val="24"/>
                <w:szCs w:val="24"/>
              </w:rPr>
              <w:t>Neutron: 1.0 μ SV ~ 9999 msv</w:t>
            </w:r>
            <w:bookmarkStart w:id="3" w:name="OLE_LINK2"/>
            <w:bookmarkEnd w:id="3"/>
          </w:p>
        </w:tc>
      </w:tr>
      <w:tr w14:paraId="47FB3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8" w:type="pct"/>
          </w:tcPr>
          <w:p w14:paraId="119633ED">
            <w:pPr>
              <w:spacing w:line="360" w:lineRule="auto"/>
              <w:rPr>
                <w:rFonts w:hint="default" w:ascii="Times New Roman" w:hAnsi="Times New Roman" w:cs="Times New Roman"/>
                <w:b/>
                <w:kern w:val="2"/>
                <w:sz w:val="24"/>
                <w:szCs w:val="24"/>
                <w:vertAlign w:val="baseline"/>
                <w:lang w:val="en-US" w:eastAsia="zh-CN" w:bidi="ar-SA"/>
              </w:rPr>
            </w:pPr>
            <w:r>
              <w:rPr>
                <w:rFonts w:hint="default" w:ascii="Times New Roman" w:hAnsi="Times New Roman" w:cs="Times New Roman"/>
                <w:position w:val="6"/>
                <w:sz w:val="24"/>
                <w:szCs w:val="24"/>
              </w:rPr>
              <w:t>dosage rate</w:t>
            </w:r>
          </w:p>
        </w:tc>
        <w:tc>
          <w:tcPr>
            <w:tcW w:w="1502" w:type="pct"/>
          </w:tcPr>
          <w:p w14:paraId="2E780ADA">
            <w:pPr>
              <w:spacing w:line="360" w:lineRule="auto"/>
              <w:rPr>
                <w:rFonts w:hint="default" w:ascii="Times New Roman" w:hAnsi="Times New Roman" w:cs="Times New Roman"/>
                <w:b/>
                <w:kern w:val="2"/>
                <w:sz w:val="24"/>
                <w:szCs w:val="24"/>
                <w:vertAlign w:val="baseline"/>
                <w:lang w:val="en-US" w:eastAsia="zh-CN" w:bidi="ar-SA"/>
              </w:rPr>
            </w:pPr>
            <w:r>
              <w:rPr>
                <w:rFonts w:hint="default" w:ascii="Times New Roman" w:hAnsi="Times New Roman" w:cs="Times New Roman"/>
                <w:position w:val="6"/>
                <w:sz w:val="24"/>
                <w:szCs w:val="24"/>
              </w:rPr>
              <w:t>10μSv/h～100mSv/h</w:t>
            </w:r>
          </w:p>
        </w:tc>
        <w:tc>
          <w:tcPr>
            <w:tcW w:w="2839" w:type="pct"/>
          </w:tcPr>
          <w:p w14:paraId="0FA0DF4E">
            <w:pPr>
              <w:numPr>
                <w:ilvl w:val="0"/>
                <w:numId w:val="0"/>
              </w:numPr>
              <w:spacing w:line="276" w:lineRule="auto"/>
              <w:rPr>
                <w:rFonts w:hint="default" w:ascii="Times New Roman" w:hAnsi="Times New Roman" w:cs="Times New Roman"/>
                <w:b/>
                <w:kern w:val="2"/>
                <w:sz w:val="24"/>
                <w:szCs w:val="24"/>
                <w:vertAlign w:val="baseline"/>
                <w:lang w:val="en-US" w:eastAsia="zh-CN" w:bidi="ar-SA"/>
              </w:rPr>
            </w:pPr>
            <w:r>
              <w:rPr>
                <w:rFonts w:hint="default" w:ascii="Times New Roman" w:hAnsi="Times New Roman" w:cs="Times New Roman"/>
                <w:position w:val="6"/>
                <w:sz w:val="24"/>
                <w:szCs w:val="24"/>
              </w:rPr>
              <w:t>X/γ：0.10μSv/h～100mSv/h； Neutron: 10μ SV/h ~ 100mSV/h</w:t>
            </w:r>
            <w:bookmarkStart w:id="4" w:name="OLE_LINK4"/>
            <w:bookmarkEnd w:id="4"/>
          </w:p>
        </w:tc>
      </w:tr>
      <w:tr w14:paraId="7BFE4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8" w:type="pct"/>
          </w:tcPr>
          <w:p w14:paraId="7D0645D3">
            <w:pPr>
              <w:spacing w:line="360" w:lineRule="auto"/>
              <w:rPr>
                <w:rFonts w:hint="default" w:ascii="Times New Roman" w:hAnsi="Times New Roman" w:cs="Times New Roman"/>
                <w:b/>
                <w:kern w:val="2"/>
                <w:sz w:val="24"/>
                <w:szCs w:val="24"/>
                <w:vertAlign w:val="baseline"/>
                <w:lang w:val="en-US" w:eastAsia="zh-CN" w:bidi="ar-SA"/>
              </w:rPr>
            </w:pPr>
            <w:bookmarkStart w:id="5" w:name="OLE_LINK6" w:colFirst="0" w:colLast="2"/>
            <w:r>
              <w:rPr>
                <w:rFonts w:hint="default" w:ascii="Times New Roman" w:hAnsi="Times New Roman" w:cs="Times New Roman"/>
                <w:position w:val="6"/>
                <w:sz w:val="24"/>
                <w:szCs w:val="24"/>
              </w:rPr>
              <w:t>Energy response range</w:t>
            </w:r>
          </w:p>
        </w:tc>
        <w:tc>
          <w:tcPr>
            <w:tcW w:w="1502" w:type="pct"/>
          </w:tcPr>
          <w:p w14:paraId="6B50405C">
            <w:pPr>
              <w:spacing w:line="360" w:lineRule="auto"/>
              <w:rPr>
                <w:rFonts w:hint="default" w:ascii="Times New Roman" w:hAnsi="Times New Roman" w:cs="Times New Roman"/>
                <w:b/>
                <w:kern w:val="2"/>
                <w:sz w:val="24"/>
                <w:szCs w:val="24"/>
                <w:vertAlign w:val="baseline"/>
                <w:lang w:val="en-US" w:eastAsia="zh-CN" w:bidi="ar-SA"/>
              </w:rPr>
            </w:pPr>
            <w:r>
              <w:rPr>
                <w:rFonts w:hint="default" w:ascii="Times New Roman" w:hAnsi="Times New Roman" w:cs="Times New Roman"/>
                <w:position w:val="6"/>
                <w:sz w:val="24"/>
                <w:szCs w:val="24"/>
              </w:rPr>
              <w:t>0.025eV～14MeV</w:t>
            </w:r>
          </w:p>
        </w:tc>
        <w:tc>
          <w:tcPr>
            <w:tcW w:w="2839" w:type="pct"/>
          </w:tcPr>
          <w:p w14:paraId="319D6631">
            <w:pPr>
              <w:numPr>
                <w:ilvl w:val="0"/>
                <w:numId w:val="0"/>
              </w:numPr>
              <w:spacing w:line="276" w:lineRule="auto"/>
              <w:rPr>
                <w:rFonts w:hint="default" w:ascii="Times New Roman" w:hAnsi="Times New Roman" w:cs="Times New Roman"/>
                <w:position w:val="6"/>
                <w:sz w:val="24"/>
                <w:szCs w:val="24"/>
              </w:rPr>
            </w:pPr>
            <w:r>
              <w:rPr>
                <w:rFonts w:hint="default" w:ascii="Times New Roman" w:hAnsi="Times New Roman" w:cs="Times New Roman"/>
                <w:position w:val="6"/>
                <w:sz w:val="24"/>
                <w:szCs w:val="24"/>
              </w:rPr>
              <w:t>X/γ：50keV～3MeV；</w:t>
            </w:r>
          </w:p>
          <w:p w14:paraId="51528606">
            <w:pPr>
              <w:numPr>
                <w:ilvl w:val="0"/>
                <w:numId w:val="0"/>
              </w:numPr>
              <w:spacing w:line="276" w:lineRule="auto"/>
              <w:rPr>
                <w:rFonts w:hint="default" w:ascii="Times New Roman" w:hAnsi="Times New Roman" w:cs="Times New Roman"/>
                <w:b/>
                <w:kern w:val="2"/>
                <w:sz w:val="24"/>
                <w:szCs w:val="24"/>
                <w:vertAlign w:val="baseline"/>
                <w:lang w:val="en-US" w:eastAsia="zh-CN" w:bidi="ar-SA"/>
              </w:rPr>
            </w:pPr>
            <w:r>
              <w:rPr>
                <w:rFonts w:hint="default" w:ascii="Times New Roman" w:hAnsi="Times New Roman" w:cs="Times New Roman"/>
                <w:position w:val="6"/>
                <w:sz w:val="24"/>
                <w:szCs w:val="24"/>
              </w:rPr>
              <w:t>Neutron: 0.025eV～14MeV ~ 14 mev</w:t>
            </w:r>
            <w:bookmarkStart w:id="6" w:name="OLE_LINK5"/>
            <w:bookmarkEnd w:id="6"/>
          </w:p>
        </w:tc>
      </w:tr>
      <w:bookmarkEnd w:id="5"/>
      <w:tr w14:paraId="66357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8" w:type="pct"/>
            <w:vAlign w:val="top"/>
          </w:tcPr>
          <w:p w14:paraId="6E26AE15">
            <w:pPr>
              <w:spacing w:line="360" w:lineRule="auto"/>
              <w:rPr>
                <w:rFonts w:hint="default" w:ascii="Times New Roman" w:hAnsi="Times New Roman" w:cs="Times New Roman"/>
                <w:b/>
                <w:kern w:val="2"/>
                <w:sz w:val="24"/>
                <w:szCs w:val="24"/>
                <w:vertAlign w:val="baseline"/>
                <w:lang w:val="en-US" w:eastAsia="zh-CN" w:bidi="ar-SA"/>
              </w:rPr>
            </w:pPr>
            <w:r>
              <w:rPr>
                <w:rFonts w:hint="default" w:ascii="Times New Roman" w:hAnsi="Times New Roman" w:cs="Times New Roman"/>
                <w:position w:val="6"/>
                <w:sz w:val="24"/>
                <w:szCs w:val="24"/>
              </w:rPr>
              <w:t>Relative inherent error</w:t>
            </w:r>
          </w:p>
        </w:tc>
        <w:tc>
          <w:tcPr>
            <w:tcW w:w="4341" w:type="pct"/>
            <w:gridSpan w:val="2"/>
            <w:vAlign w:val="top"/>
          </w:tcPr>
          <w:p w14:paraId="1A76184E">
            <w:pPr>
              <w:spacing w:line="360" w:lineRule="auto"/>
              <w:rPr>
                <w:rFonts w:hint="default" w:ascii="Times New Roman" w:hAnsi="Times New Roman" w:cs="Times New Roman"/>
                <w:b/>
                <w:kern w:val="2"/>
                <w:sz w:val="24"/>
                <w:szCs w:val="24"/>
                <w:vertAlign w:val="baseline"/>
                <w:lang w:val="en-US" w:eastAsia="zh-CN" w:bidi="ar-SA"/>
              </w:rPr>
            </w:pPr>
            <w:r>
              <w:rPr>
                <w:rFonts w:hint="default" w:ascii="Times New Roman" w:hAnsi="Times New Roman" w:cs="Times New Roman"/>
                <w:position w:val="6"/>
                <w:sz w:val="24"/>
                <w:szCs w:val="24"/>
              </w:rPr>
              <w:t>Hp(10) is better than 20%</w:t>
            </w:r>
          </w:p>
        </w:tc>
      </w:tr>
      <w:tr w14:paraId="5331B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8" w:type="pct"/>
            <w:vAlign w:val="top"/>
          </w:tcPr>
          <w:p w14:paraId="537D0897">
            <w:pPr>
              <w:spacing w:line="360" w:lineRule="auto"/>
              <w:rPr>
                <w:rFonts w:hint="default" w:ascii="Times New Roman" w:hAnsi="Times New Roman" w:cs="Times New Roman"/>
                <w:position w:val="6"/>
                <w:sz w:val="24"/>
                <w:szCs w:val="24"/>
              </w:rPr>
            </w:pPr>
            <w:r>
              <w:rPr>
                <w:rFonts w:hint="default" w:ascii="Times New Roman" w:hAnsi="Times New Roman" w:cs="Times New Roman"/>
                <w:position w:val="6"/>
                <w:sz w:val="24"/>
                <w:szCs w:val="24"/>
              </w:rPr>
              <w:t>Alarm function</w:t>
            </w:r>
          </w:p>
        </w:tc>
        <w:tc>
          <w:tcPr>
            <w:tcW w:w="4341" w:type="pct"/>
            <w:gridSpan w:val="2"/>
            <w:vAlign w:val="top"/>
          </w:tcPr>
          <w:p w14:paraId="3DDCA915">
            <w:pPr>
              <w:spacing w:line="360" w:lineRule="auto"/>
              <w:rPr>
                <w:rFonts w:hint="default" w:ascii="Times New Roman" w:hAnsi="Times New Roman" w:cs="Times New Roman"/>
                <w:position w:val="6"/>
                <w:sz w:val="24"/>
                <w:szCs w:val="24"/>
              </w:rPr>
            </w:pPr>
            <w:r>
              <w:rPr>
                <w:rFonts w:hint="default" w:ascii="Times New Roman" w:hAnsi="Times New Roman" w:cs="Times New Roman"/>
                <w:position w:val="6"/>
                <w:sz w:val="24"/>
                <w:szCs w:val="24"/>
              </w:rPr>
              <w:t>It has alarm functions such as dose rate, cumulative dose and working time, and the alarm threshold can be continuously adjusted. The alarm methods are acousto-optic alarm and LCD alarm.</w:t>
            </w:r>
          </w:p>
        </w:tc>
      </w:tr>
      <w:tr w14:paraId="7663D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8" w:type="pct"/>
            <w:vAlign w:val="top"/>
          </w:tcPr>
          <w:p w14:paraId="703E921B">
            <w:pPr>
              <w:spacing w:line="360" w:lineRule="auto"/>
              <w:rPr>
                <w:rFonts w:hint="default" w:ascii="Times New Roman" w:hAnsi="Times New Roman" w:cs="Times New Roman"/>
                <w:position w:val="6"/>
                <w:sz w:val="24"/>
                <w:szCs w:val="24"/>
              </w:rPr>
            </w:pPr>
            <w:r>
              <w:rPr>
                <w:rFonts w:hint="default" w:ascii="Times New Roman" w:hAnsi="Times New Roman" w:cs="Times New Roman"/>
                <w:position w:val="6"/>
                <w:sz w:val="24"/>
                <w:szCs w:val="24"/>
              </w:rPr>
              <w:t>Power Supply </w:t>
            </w:r>
          </w:p>
        </w:tc>
        <w:tc>
          <w:tcPr>
            <w:tcW w:w="4341" w:type="pct"/>
            <w:gridSpan w:val="2"/>
            <w:vAlign w:val="top"/>
          </w:tcPr>
          <w:p w14:paraId="2BC60C7E">
            <w:pPr>
              <w:spacing w:line="360" w:lineRule="auto"/>
              <w:rPr>
                <w:rFonts w:hint="default" w:ascii="Times New Roman" w:hAnsi="Times New Roman" w:cs="Times New Roman"/>
                <w:position w:val="6"/>
                <w:sz w:val="24"/>
                <w:szCs w:val="24"/>
              </w:rPr>
            </w:pPr>
            <w:r>
              <w:rPr>
                <w:rFonts w:hint="default" w:ascii="Times New Roman" w:hAnsi="Times New Roman" w:cs="Times New Roman"/>
                <w:position w:val="6"/>
                <w:sz w:val="24"/>
                <w:szCs w:val="24"/>
              </w:rPr>
              <w:t>Built-in lithium battery can run continuously for more than 500 h after one charge in the background mode.</w:t>
            </w:r>
          </w:p>
        </w:tc>
      </w:tr>
      <w:tr w14:paraId="736B8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8" w:type="pct"/>
            <w:vAlign w:val="top"/>
          </w:tcPr>
          <w:p w14:paraId="1C2ED417">
            <w:pPr>
              <w:spacing w:line="360" w:lineRule="auto"/>
              <w:rPr>
                <w:rFonts w:hint="default" w:ascii="Times New Roman" w:hAnsi="Times New Roman" w:cs="Times New Roman"/>
                <w:position w:val="6"/>
                <w:sz w:val="24"/>
                <w:szCs w:val="24"/>
              </w:rPr>
            </w:pPr>
            <w:r>
              <w:rPr>
                <w:rFonts w:hint="default" w:ascii="Times New Roman" w:hAnsi="Times New Roman" w:cs="Times New Roman"/>
                <w:position w:val="6"/>
                <w:sz w:val="24"/>
                <w:szCs w:val="24"/>
              </w:rPr>
              <w:t>Working temperature and humidity</w:t>
            </w:r>
          </w:p>
        </w:tc>
        <w:tc>
          <w:tcPr>
            <w:tcW w:w="4341" w:type="pct"/>
            <w:gridSpan w:val="2"/>
            <w:vAlign w:val="top"/>
          </w:tcPr>
          <w:p w14:paraId="3373479C">
            <w:pPr>
              <w:spacing w:line="360" w:lineRule="auto"/>
              <w:rPr>
                <w:rFonts w:hint="default" w:ascii="Times New Roman" w:hAnsi="Times New Roman" w:cs="Times New Roman"/>
                <w:position w:val="6"/>
                <w:sz w:val="24"/>
                <w:szCs w:val="24"/>
              </w:rPr>
            </w:pPr>
            <w:r>
              <w:rPr>
                <w:rFonts w:hint="default" w:ascii="Times New Roman" w:hAnsi="Times New Roman" w:cs="Times New Roman"/>
                <w:position w:val="6"/>
                <w:sz w:val="24"/>
                <w:szCs w:val="24"/>
              </w:rPr>
              <w:t>-10℃ ~ 45℃, ≤90%RH (no condensation)</w:t>
            </w:r>
          </w:p>
        </w:tc>
      </w:tr>
      <w:tr w14:paraId="7F0B0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8" w:type="pct"/>
            <w:vAlign w:val="top"/>
          </w:tcPr>
          <w:p w14:paraId="2276F3EA">
            <w:pPr>
              <w:spacing w:line="360" w:lineRule="auto"/>
              <w:rPr>
                <w:rFonts w:hint="default" w:ascii="Times New Roman" w:hAnsi="Times New Roman" w:cs="Times New Roman"/>
                <w:position w:val="6"/>
                <w:sz w:val="24"/>
                <w:szCs w:val="24"/>
              </w:rPr>
            </w:pPr>
            <w:r>
              <w:rPr>
                <w:rFonts w:hint="default" w:ascii="Times New Roman" w:hAnsi="Times New Roman" w:cs="Times New Roman"/>
                <w:position w:val="6"/>
                <w:sz w:val="24"/>
                <w:szCs w:val="24"/>
              </w:rPr>
              <w:t>Appearance size</w:t>
            </w:r>
          </w:p>
        </w:tc>
        <w:tc>
          <w:tcPr>
            <w:tcW w:w="4341" w:type="pct"/>
            <w:gridSpan w:val="2"/>
            <w:vAlign w:val="top"/>
          </w:tcPr>
          <w:p w14:paraId="5DD66042">
            <w:pPr>
              <w:numPr>
                <w:ilvl w:val="0"/>
                <w:numId w:val="0"/>
              </w:numPr>
              <w:spacing w:line="276" w:lineRule="auto"/>
              <w:rPr>
                <w:rFonts w:hint="default" w:ascii="Times New Roman" w:hAnsi="Times New Roman" w:cs="Times New Roman"/>
                <w:position w:val="6"/>
                <w:sz w:val="24"/>
                <w:szCs w:val="24"/>
              </w:rPr>
            </w:pPr>
            <w:r>
              <w:rPr>
                <w:rFonts w:hint="default" w:ascii="Times New Roman" w:hAnsi="Times New Roman" w:cs="Times New Roman"/>
                <w:position w:val="6"/>
                <w:sz w:val="24"/>
                <w:szCs w:val="24"/>
              </w:rPr>
              <w:t>Length 95mm* width 60mm* thickness 27.5mm (excluding back clip)</w:t>
            </w:r>
          </w:p>
          <w:p w14:paraId="0075FD1A">
            <w:pPr>
              <w:spacing w:line="360" w:lineRule="auto"/>
              <w:rPr>
                <w:rFonts w:hint="default" w:ascii="Times New Roman" w:hAnsi="Times New Roman" w:cs="Times New Roman"/>
                <w:position w:val="6"/>
                <w:sz w:val="24"/>
                <w:szCs w:val="24"/>
              </w:rPr>
            </w:pPr>
          </w:p>
        </w:tc>
      </w:tr>
      <w:tr w14:paraId="3D58C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8" w:type="pct"/>
            <w:vAlign w:val="top"/>
          </w:tcPr>
          <w:p w14:paraId="5E5B03B5">
            <w:pPr>
              <w:spacing w:line="360" w:lineRule="auto"/>
              <w:rPr>
                <w:rFonts w:hint="default" w:ascii="Times New Roman" w:hAnsi="Times New Roman" w:cs="Times New Roman"/>
                <w:position w:val="6"/>
                <w:sz w:val="24"/>
                <w:szCs w:val="24"/>
              </w:rPr>
            </w:pPr>
            <w:r>
              <w:rPr>
                <w:rFonts w:hint="default" w:ascii="Times New Roman" w:hAnsi="Times New Roman" w:cs="Times New Roman"/>
                <w:position w:val="6"/>
                <w:sz w:val="24"/>
                <w:szCs w:val="24"/>
              </w:rPr>
              <w:t>weight</w:t>
            </w:r>
          </w:p>
        </w:tc>
        <w:tc>
          <w:tcPr>
            <w:tcW w:w="4341" w:type="pct"/>
            <w:gridSpan w:val="2"/>
            <w:vAlign w:val="top"/>
          </w:tcPr>
          <w:p w14:paraId="239190BA">
            <w:pPr>
              <w:spacing w:line="360" w:lineRule="auto"/>
              <w:rPr>
                <w:rFonts w:hint="default" w:ascii="Times New Roman" w:hAnsi="Times New Roman" w:cs="Times New Roman"/>
                <w:position w:val="6"/>
                <w:sz w:val="24"/>
                <w:szCs w:val="24"/>
              </w:rPr>
            </w:pPr>
            <w:r>
              <w:rPr>
                <w:rFonts w:hint="default" w:ascii="Times New Roman" w:hAnsi="Times New Roman" w:cs="Times New Roman"/>
                <w:position w:val="6"/>
                <w:sz w:val="24"/>
                <w:szCs w:val="24"/>
              </w:rPr>
              <w:t>About 190g</w:t>
            </w:r>
          </w:p>
        </w:tc>
      </w:tr>
    </w:tbl>
    <w:p w14:paraId="4F01321D">
      <w:pPr>
        <w:rPr>
          <w:rFonts w:hint="default" w:ascii="Times New Roman" w:hAnsi="Times New Roman" w:cs="Times New Roman"/>
          <w:sz w:val="24"/>
          <w:szCs w:val="24"/>
        </w:rPr>
      </w:pPr>
    </w:p>
    <w:sectPr>
      <w:headerReference r:id="rId3" w:type="default"/>
      <w:footerReference r:id="rId4" w:type="default"/>
      <w:pgSz w:w="11906" w:h="16838"/>
      <w:pgMar w:top="567" w:right="567" w:bottom="567" w:left="567" w:header="567" w:footer="567"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AFAF9D">
    <w:pPr>
      <w:pStyle w:val="4"/>
      <w:jc w:val="center"/>
      <w:rPr>
        <w:rFonts w:hint="default"/>
        <w:lang w:val="en-US" w:eastAsia="zh-CN"/>
      </w:rPr>
    </w:pPr>
    <w:r>
      <w:rPr>
        <w:rFonts w:hint="default" w:ascii="Calibri" w:hAnsi="Calibri" w:cs="Calibri"/>
        <w:sz w:val="18"/>
        <w:szCs w:val="18"/>
        <w:lang w:val="en-US" w:eastAsia="zh-CN"/>
      </w:rPr>
      <w:t>Address: Room 601, Block B, Building 1, Huaqiang Creative Industry Park, Guangming Street, Guangming New District, Shenzhen</w:t>
    </w:r>
  </w:p>
  <w:p w14:paraId="26729828">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B2CC2B">
    <w:pPr>
      <w:pStyle w:val="4"/>
    </w:pPr>
    <w:r>
      <w:rPr>
        <w:rFonts w:hint="eastAsia" w:ascii="宋体" w:hAnsi="宋体" w:eastAsia="宋体" w:cs="宋体"/>
        <w:b/>
        <w:bCs/>
        <w:sz w:val="21"/>
        <w:szCs w:val="21"/>
        <w:lang w:val="en-US" w:eastAsia="zh-CN"/>
      </w:rPr>
      <w:drawing>
        <wp:inline distT="0" distB="0" distL="114300" distR="114300">
          <wp:extent cx="1359535" cy="381635"/>
          <wp:effectExtent l="0" t="0" r="12065" b="18415"/>
          <wp:docPr id="8" name="图片 8" descr="Z:/美工/logo/86456.jpg86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Z:/美工/logo/86456.jpg86456"/>
                  <pic:cNvPicPr>
                    <a:picLocks noChangeAspect="1"/>
                  </pic:cNvPicPr>
                </pic:nvPicPr>
                <pic:blipFill>
                  <a:blip r:embed="rId1"/>
                  <a:srcRect t="21952" b="21952"/>
                  <a:stretch>
                    <a:fillRect/>
                  </a:stretch>
                </pic:blipFill>
                <pic:spPr>
                  <a:xfrm>
                    <a:off x="0" y="0"/>
                    <a:ext cx="1359535" cy="381635"/>
                  </a:xfrm>
                  <a:prstGeom prst="rect">
                    <a:avLst/>
                  </a:prstGeom>
                </pic:spPr>
              </pic:pic>
            </a:graphicData>
          </a:graphic>
        </wp:inline>
      </w:drawing>
    </w:r>
    <w:r>
      <w:rPr>
        <w:rFonts w:hint="default" w:ascii="Calibri" w:hAnsi="Calibri" w:eastAsia="宋体" w:cs="Calibri"/>
        <w:b/>
        <w:bCs/>
        <w:sz w:val="21"/>
        <w:szCs w:val="21"/>
        <w:lang w:val="en-US" w:eastAsia="zh-CN"/>
      </w:rPr>
      <w:t>Shenzhen Wanyi Technology Co., Ltd</w:t>
    </w:r>
    <w:r>
      <w:rPr>
        <w:rFonts w:hint="default" w:ascii="Calibri" w:hAnsi="Calibri" w:eastAsia="宋体" w:cs="Calibri"/>
        <w:b w:val="0"/>
        <w:bCs w:val="0"/>
        <w:sz w:val="21"/>
        <w:szCs w:val="21"/>
        <w:lang w:val="en-US" w:eastAsia="zh-CN"/>
      </w:rPr>
      <w:t xml:space="preserve"> </w:t>
    </w:r>
    <w:r>
      <w:rPr>
        <w:rFonts w:hint="default" w:ascii="Calibri" w:hAnsi="Calibri" w:eastAsia="宋体" w:cs="Calibri"/>
        <w:b/>
        <w:bCs/>
        <w:sz w:val="21"/>
        <w:szCs w:val="21"/>
        <w:lang w:val="en-US" w:eastAsia="zh-CN"/>
      </w:rPr>
      <w:t xml:space="preserve"> E</w:t>
    </w:r>
    <w:r>
      <w:rPr>
        <w:rFonts w:hint="eastAsia" w:eastAsia="宋体" w:cs="Calibri"/>
        <w:b/>
        <w:bCs/>
        <w:sz w:val="21"/>
        <w:szCs w:val="21"/>
        <w:lang w:val="en-US" w:eastAsia="zh-CN"/>
      </w:rPr>
      <w:t>-</w:t>
    </w:r>
    <w:r>
      <w:rPr>
        <w:rFonts w:hint="default" w:ascii="Calibri" w:hAnsi="Calibri" w:eastAsia="宋体" w:cs="Calibri"/>
        <w:b/>
        <w:bCs/>
        <w:sz w:val="21"/>
        <w:szCs w:val="21"/>
        <w:lang w:val="en-US" w:eastAsia="zh-CN"/>
      </w:rPr>
      <w:t>mail</w:t>
    </w:r>
    <w:r>
      <w:rPr>
        <w:rFonts w:hint="eastAsia" w:eastAsia="宋体" w:cs="Calibri"/>
        <w:b/>
        <w:bCs/>
        <w:sz w:val="21"/>
        <w:szCs w:val="21"/>
        <w:lang w:val="en-US" w:eastAsia="zh-CN"/>
      </w:rPr>
      <w:t>：</w:t>
    </w:r>
    <w:r>
      <w:rPr>
        <w:rFonts w:hint="default" w:ascii="Calibri" w:hAnsi="Calibri" w:eastAsia="宋体" w:cs="Calibri"/>
        <w:b w:val="0"/>
        <w:bCs w:val="0"/>
        <w:sz w:val="21"/>
        <w:szCs w:val="21"/>
        <w:lang w:val="en-US" w:eastAsia="zh-CN"/>
      </w:rPr>
      <w:t xml:space="preserve">wy0960@wy1718.com </w:t>
    </w:r>
    <w:r>
      <w:rPr>
        <w:rFonts w:hint="eastAsia" w:eastAsia="宋体" w:cs="Calibri"/>
        <w:b w:val="0"/>
        <w:bCs w:val="0"/>
        <w:sz w:val="21"/>
        <w:szCs w:val="21"/>
        <w:lang w:val="en-US" w:eastAsia="zh-CN"/>
      </w:rPr>
      <w:t xml:space="preserve"> URL</w:t>
    </w:r>
    <w:r>
      <w:rPr>
        <w:rFonts w:hint="default" w:ascii="Calibri" w:hAnsi="Calibri" w:eastAsia="宋体" w:cs="Calibri"/>
        <w:b/>
        <w:bCs/>
        <w:sz w:val="21"/>
        <w:szCs w:val="21"/>
        <w:lang w:val="en-US" w:eastAsia="zh-CN"/>
      </w:rPr>
      <w:t>：</w:t>
    </w:r>
    <w:r>
      <w:rPr>
        <w:rFonts w:hint="default" w:ascii="Calibri" w:hAnsi="Calibri" w:eastAsia="宋体" w:cs="Calibri"/>
        <w:b w:val="0"/>
        <w:bCs w:val="0"/>
        <w:sz w:val="21"/>
        <w:szCs w:val="21"/>
        <w:lang w:val="en-US" w:eastAsia="zh-CN"/>
      </w:rPr>
      <w:t>cestsen.com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dlMDY5NGM5OTdkZGZlZjQ2NDllMjA0MGQwYTJjNDIifQ=="/>
  </w:docVars>
  <w:rsids>
    <w:rsidRoot w:val="0A454CE0"/>
    <w:rsid w:val="0A454CE0"/>
    <w:rsid w:val="1B324352"/>
    <w:rsid w:val="39873EC3"/>
    <w:rsid w:val="795E40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99"/>
    <w:pPr>
      <w:keepNext/>
      <w:keepLines/>
      <w:widowControl/>
      <w:spacing w:before="100" w:after="100"/>
      <w:jc w:val="left"/>
      <w:outlineLvl w:val="0"/>
    </w:pPr>
    <w:rPr>
      <w:rFonts w:ascii="宋体" w:hAnsi="宋体"/>
      <w:b/>
      <w:sz w:val="28"/>
      <w:szCs w:val="28"/>
    </w:rPr>
  </w:style>
  <w:style w:type="character" w:default="1" w:styleId="7">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basedOn w:val="5"/>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273</Words>
  <Characters>1607</Characters>
  <Lines>0</Lines>
  <Paragraphs>0</Paragraphs>
  <TotalTime>3</TotalTime>
  <ScaleCrop>false</ScaleCrop>
  <LinksUpToDate>false</LinksUpToDate>
  <CharactersWithSpaces>1822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2026-10-17T01:38:00Z</dcterms:created>
  <dc:creator>深圳万仪-负离子、PM2.5、大气检测</dc:creator>
  <cp:lastModifiedBy>ctrl</cp:lastModifiedBy>
  <dcterms:modified xsi:type="dcterms:W3CDTF">2026-10-26T01:26:21Z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9408742494DD4807B5EFF6A04F970BB3_13</vt:lpwstr>
  </property>
  <property fmtid="{D5CDD505-2E9C-101B-9397-08002B2CF9AE}" pid="4" name="KSOTemplateDocerSaveRecord">
    <vt:lpwstr>eyJoZGlkIjoiMGUyMjM0NjdjMzViYmYwY2VhZDRjYWRiYWU1MGM1NTUiLCJ1c2VySWQiOiI0NTkzMTYxMDQifQ==</vt:lpwstr>
  </property>
</Properties>
</file>